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A01C" w14:textId="1348230B" w:rsidR="00F96B6D" w:rsidRPr="00F96B6D" w:rsidRDefault="00180DD4" w:rsidP="00F96B6D">
      <w:pPr>
        <w:rPr>
          <w:b/>
          <w:bCs/>
          <w:sz w:val="32"/>
          <w:szCs w:val="32"/>
        </w:rPr>
      </w:pPr>
      <w:r w:rsidRPr="00180DD4">
        <w:rPr>
          <w:b/>
          <w:bCs/>
          <w:sz w:val="32"/>
          <w:szCs w:val="32"/>
        </w:rPr>
        <w:t>Key Considerations When Turning Your Home into a Rental Property</w:t>
      </w:r>
    </w:p>
    <w:p w14:paraId="3364FD68" w14:textId="77777777" w:rsidR="00F96B6D" w:rsidRPr="00F96B6D" w:rsidRDefault="00F96B6D" w:rsidP="00F96B6D">
      <w:r w:rsidRPr="00F96B6D">
        <w:rPr>
          <w:b/>
          <w:bCs/>
        </w:rPr>
        <w:t>Note:</w:t>
      </w:r>
      <w:r w:rsidRPr="00F96B6D">
        <w:t xml:space="preserve"> If you are </w:t>
      </w:r>
      <w:r w:rsidRPr="00F96B6D">
        <w:rPr>
          <w:b/>
          <w:bCs/>
        </w:rPr>
        <w:t>only renting part of your home</w:t>
      </w:r>
      <w:r w:rsidRPr="00F96B6D">
        <w:t xml:space="preserve"> (e.g., renting a room or a section of your home) </w:t>
      </w:r>
      <w:r w:rsidRPr="00F96B6D">
        <w:rPr>
          <w:b/>
          <w:bCs/>
        </w:rPr>
        <w:t>without changing the structure</w:t>
      </w:r>
      <w:r w:rsidRPr="00F96B6D">
        <w:t xml:space="preserve"> and </w:t>
      </w:r>
      <w:r w:rsidRPr="00F96B6D">
        <w:rPr>
          <w:b/>
          <w:bCs/>
        </w:rPr>
        <w:t>do not claim CCA</w:t>
      </w:r>
      <w:r w:rsidRPr="00F96B6D">
        <w:t xml:space="preserve">, the rules below </w:t>
      </w:r>
      <w:r w:rsidRPr="00F96B6D">
        <w:rPr>
          <w:b/>
          <w:bCs/>
        </w:rPr>
        <w:t>do not apply</w:t>
      </w:r>
      <w:r w:rsidRPr="00F96B6D">
        <w:t xml:space="preserve">. Your home will still be considered your principal residence, and you </w:t>
      </w:r>
      <w:r w:rsidRPr="00F96B6D">
        <w:rPr>
          <w:b/>
          <w:bCs/>
        </w:rPr>
        <w:t>do not need to file any election or report a deemed disposition</w:t>
      </w:r>
      <w:r w:rsidRPr="00F96B6D">
        <w:t>.</w:t>
      </w:r>
    </w:p>
    <w:p w14:paraId="445A5134" w14:textId="77777777" w:rsidR="00F96B6D" w:rsidRPr="00F96B6D" w:rsidRDefault="00000000" w:rsidP="00F96B6D">
      <w:r>
        <w:pict w14:anchorId="7A8D06F6">
          <v:rect id="_x0000_i1025" style="width:0;height:1.5pt" o:hralign="center" o:hrstd="t" o:hr="t" fillcolor="#a0a0a0" stroked="f"/>
        </w:pict>
      </w:r>
    </w:p>
    <w:p w14:paraId="57EA0A3C" w14:textId="77777777" w:rsidR="00F96B6D" w:rsidRPr="00F96B6D" w:rsidRDefault="00F96B6D" w:rsidP="00F96B6D">
      <w:pPr>
        <w:rPr>
          <w:b/>
          <w:bCs/>
        </w:rPr>
      </w:pPr>
      <w:r w:rsidRPr="00F96B6D">
        <w:rPr>
          <w:b/>
          <w:bCs/>
        </w:rPr>
        <w:t>When You Move Out and Start Renting</w:t>
      </w:r>
    </w:p>
    <w:p w14:paraId="4897918A" w14:textId="77777777" w:rsidR="00F96B6D" w:rsidRPr="00F96B6D" w:rsidRDefault="00F96B6D" w:rsidP="00F96B6D">
      <w:r w:rsidRPr="00F96B6D">
        <w:t xml:space="preserve">If you move out of your home and start renting the property, there are </w:t>
      </w:r>
      <w:r w:rsidRPr="00F96B6D">
        <w:rPr>
          <w:b/>
          <w:bCs/>
        </w:rPr>
        <w:t>two main options</w:t>
      </w:r>
      <w:r w:rsidRPr="00F96B6D">
        <w:t xml:space="preserve"> you must consider:</w:t>
      </w:r>
    </w:p>
    <w:p w14:paraId="79B72AA1" w14:textId="77777777" w:rsidR="00F96B6D" w:rsidRPr="00F96B6D" w:rsidRDefault="00F96B6D" w:rsidP="00F96B6D">
      <w:pPr>
        <w:numPr>
          <w:ilvl w:val="0"/>
          <w:numId w:val="8"/>
        </w:numPr>
      </w:pPr>
      <w:r w:rsidRPr="00F96B6D">
        <w:rPr>
          <w:b/>
          <w:bCs/>
        </w:rPr>
        <w:t>File an election under Subsection 45(2)</w:t>
      </w:r>
    </w:p>
    <w:p w14:paraId="02EB57FB" w14:textId="3A7E8958" w:rsidR="00F96B6D" w:rsidRPr="00F96B6D" w:rsidRDefault="00F96B6D" w:rsidP="00F96B6D">
      <w:pPr>
        <w:numPr>
          <w:ilvl w:val="1"/>
          <w:numId w:val="8"/>
        </w:numPr>
      </w:pPr>
      <w:r w:rsidRPr="00F96B6D">
        <w:t xml:space="preserve">A sample letter is available on </w:t>
      </w:r>
      <w:hyperlink r:id="rId5" w:history="1">
        <w:r w:rsidRPr="00B5136D">
          <w:rPr>
            <w:rStyle w:val="Hyperlink"/>
          </w:rPr>
          <w:t>our website</w:t>
        </w:r>
      </w:hyperlink>
      <w:r w:rsidR="00B5136D">
        <w:t xml:space="preserve">. </w:t>
      </w:r>
    </w:p>
    <w:p w14:paraId="199AE478" w14:textId="77777777" w:rsidR="00F96B6D" w:rsidRPr="00F96B6D" w:rsidRDefault="00F96B6D" w:rsidP="00F96B6D">
      <w:pPr>
        <w:numPr>
          <w:ilvl w:val="1"/>
          <w:numId w:val="8"/>
        </w:numPr>
      </w:pPr>
      <w:r w:rsidRPr="00F96B6D">
        <w:t>You fill it out and mail it to your tax center.</w:t>
      </w:r>
    </w:p>
    <w:p w14:paraId="663B907B" w14:textId="77777777" w:rsidR="00F96B6D" w:rsidRPr="00F96B6D" w:rsidRDefault="00F96B6D" w:rsidP="00F96B6D">
      <w:pPr>
        <w:numPr>
          <w:ilvl w:val="0"/>
          <w:numId w:val="8"/>
        </w:numPr>
      </w:pPr>
      <w:r w:rsidRPr="00F96B6D">
        <w:rPr>
          <w:b/>
          <w:bCs/>
        </w:rPr>
        <w:t>Report a deemed disposition using Form T2091</w:t>
      </w:r>
      <w:r w:rsidRPr="00F96B6D">
        <w:t xml:space="preserve"> (included in your T1 tax return)</w:t>
      </w:r>
    </w:p>
    <w:p w14:paraId="1622BB11" w14:textId="77777777" w:rsidR="00F96B6D" w:rsidRPr="00F96B6D" w:rsidRDefault="00F96B6D" w:rsidP="00F96B6D">
      <w:pPr>
        <w:numPr>
          <w:ilvl w:val="1"/>
          <w:numId w:val="8"/>
        </w:numPr>
      </w:pPr>
      <w:r w:rsidRPr="00F96B6D">
        <w:t xml:space="preserve">You will need an appraisal to determine the </w:t>
      </w:r>
      <w:r w:rsidRPr="00F96B6D">
        <w:rPr>
          <w:b/>
          <w:bCs/>
        </w:rPr>
        <w:t>Fair Market Value (FMV)</w:t>
      </w:r>
      <w:r w:rsidRPr="00F96B6D">
        <w:t xml:space="preserve"> at the time of conversion.</w:t>
      </w:r>
    </w:p>
    <w:p w14:paraId="4D6F42BB" w14:textId="77777777" w:rsidR="00F96B6D" w:rsidRPr="00F96B6D" w:rsidRDefault="00F96B6D" w:rsidP="00F96B6D">
      <w:pPr>
        <w:numPr>
          <w:ilvl w:val="1"/>
          <w:numId w:val="8"/>
        </w:numPr>
      </w:pPr>
      <w:r w:rsidRPr="00F96B6D">
        <w:t xml:space="preserve">This FMV becomes your </w:t>
      </w:r>
      <w:r w:rsidRPr="00F96B6D">
        <w:rPr>
          <w:b/>
          <w:bCs/>
        </w:rPr>
        <w:t>new Adjusted Cost Base (ACB)</w:t>
      </w:r>
      <w:r w:rsidRPr="00F96B6D">
        <w:t xml:space="preserve"> to calculate future capital gains.</w:t>
      </w:r>
    </w:p>
    <w:p w14:paraId="405FEBAE" w14:textId="77777777" w:rsidR="00F96B6D" w:rsidRPr="00F96B6D" w:rsidRDefault="00F96B6D" w:rsidP="00F96B6D">
      <w:r w:rsidRPr="00F96B6D">
        <w:t xml:space="preserve">The choice you make will </w:t>
      </w:r>
      <w:r w:rsidRPr="00F96B6D">
        <w:rPr>
          <w:b/>
          <w:bCs/>
        </w:rPr>
        <w:t>directly affect how capital gains are calculated when you sell the property</w:t>
      </w:r>
      <w:r w:rsidRPr="00F96B6D">
        <w:t>.</w:t>
      </w:r>
    </w:p>
    <w:p w14:paraId="3AE153B1" w14:textId="77777777" w:rsidR="00F96B6D" w:rsidRPr="00F96B6D" w:rsidRDefault="00000000" w:rsidP="00F96B6D">
      <w:r>
        <w:pict w14:anchorId="0F510F05">
          <v:rect id="_x0000_i1026" style="width:0;height:1.5pt" o:hralign="center" o:hrstd="t" o:hr="t" fillcolor="#a0a0a0" stroked="f"/>
        </w:pict>
      </w:r>
    </w:p>
    <w:p w14:paraId="71549333" w14:textId="77777777" w:rsidR="00F96B6D" w:rsidRPr="00F96B6D" w:rsidRDefault="00F96B6D" w:rsidP="00F96B6D">
      <w:pPr>
        <w:rPr>
          <w:b/>
          <w:bCs/>
        </w:rPr>
      </w:pPr>
      <w:r w:rsidRPr="00F96B6D">
        <w:rPr>
          <w:b/>
          <w:bCs/>
        </w:rPr>
        <w:t>Option 1: Filing Section 45(2) Election</w:t>
      </w:r>
    </w:p>
    <w:p w14:paraId="54A00CED" w14:textId="77777777" w:rsidR="00F96B6D" w:rsidRPr="00F96B6D" w:rsidRDefault="00F96B6D" w:rsidP="00F96B6D">
      <w:pPr>
        <w:numPr>
          <w:ilvl w:val="0"/>
          <w:numId w:val="9"/>
        </w:numPr>
      </w:pPr>
      <w:r w:rsidRPr="00F96B6D">
        <w:t>No disposition occurs at conversion.</w:t>
      </w:r>
    </w:p>
    <w:p w14:paraId="1B1CD49D" w14:textId="77777777" w:rsidR="00F96B6D" w:rsidRPr="00F96B6D" w:rsidRDefault="00F96B6D" w:rsidP="00F96B6D">
      <w:pPr>
        <w:numPr>
          <w:ilvl w:val="0"/>
          <w:numId w:val="9"/>
        </w:numPr>
      </w:pPr>
      <w:r w:rsidRPr="00F96B6D">
        <w:t xml:space="preserve">You continue treating the property as </w:t>
      </w:r>
      <w:r w:rsidRPr="00F96B6D">
        <w:rPr>
          <w:b/>
          <w:bCs/>
        </w:rPr>
        <w:t>one continuous principal residence</w:t>
      </w:r>
      <w:r w:rsidRPr="00F96B6D">
        <w:t>.</w:t>
      </w:r>
    </w:p>
    <w:p w14:paraId="3C154FD2" w14:textId="77777777" w:rsidR="00F96B6D" w:rsidRPr="00F96B6D" w:rsidRDefault="00F96B6D" w:rsidP="00F96B6D">
      <w:pPr>
        <w:numPr>
          <w:ilvl w:val="0"/>
          <w:numId w:val="9"/>
        </w:numPr>
      </w:pPr>
      <w:r w:rsidRPr="00F96B6D">
        <w:rPr>
          <w:b/>
          <w:bCs/>
        </w:rPr>
        <w:t>Principal Residence Exemption (PRE)</w:t>
      </w:r>
      <w:r w:rsidRPr="00F96B6D">
        <w:t xml:space="preserve"> can be applied for up to </w:t>
      </w:r>
      <w:r w:rsidRPr="00F96B6D">
        <w:rPr>
          <w:b/>
          <w:bCs/>
        </w:rPr>
        <w:t>4 rental years</w:t>
      </w:r>
      <w:r w:rsidRPr="00F96B6D">
        <w:t xml:space="preserve"> (if you do not acquire another home).</w:t>
      </w:r>
    </w:p>
    <w:p w14:paraId="18A3FB64" w14:textId="77777777" w:rsidR="00F96B6D" w:rsidRPr="00F96B6D" w:rsidRDefault="00F96B6D" w:rsidP="00F96B6D">
      <w:r w:rsidRPr="00F96B6D">
        <w:rPr>
          <w:b/>
          <w:bCs/>
        </w:rPr>
        <w:t>Capital gain calculation at sale:</w:t>
      </w:r>
    </w:p>
    <w:p w14:paraId="65EFE578" w14:textId="2AE9DF8C" w:rsidR="00F96B6D" w:rsidRPr="00F96B6D" w:rsidRDefault="00F96B6D" w:rsidP="00F96B6D">
      <m:oMathPara>
        <m:oMath>
          <m:r>
            <m:rPr>
              <m:nor/>
            </m:rPr>
            <w:lastRenderedPageBreak/>
            <m:t>Capital Gain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m:t>Total Gain (Sale Price - Original Cost)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m:t>Exempt Gain</m:t>
          </m:r>
          <m:r>
            <m:rPr>
              <m:sty m:val="p"/>
            </m:rPr>
            <w:br/>
          </m:r>
        </m:oMath>
        <m:oMath>
          <m:r>
            <m:rPr>
              <m:nor/>
            </m:rPr>
            <m:t>Exempt Gain</m:t>
          </m:r>
          <m:r>
            <w:rPr>
              <w:rFonts w:ascii="Cambria Math" w:hAnsi="Cambria Math"/>
            </w:rPr>
            <m:t xml:space="preserve">=Total </m:t>
          </m:r>
          <m:r>
            <m:rPr>
              <m:nor/>
            </m:rPr>
            <m:t>Gain</m:t>
          </m:r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1+</m:t>
              </m:r>
              <m:r>
                <m:rPr>
                  <m:nor/>
                </m:rPr>
                <m:t>PR Years</m:t>
              </m:r>
            </m:num>
            <m:den>
              <m:r>
                <m:rPr>
                  <m:nor/>
                </m:rPr>
                <m:t>Years Owned</m:t>
              </m:r>
            </m:den>
          </m:f>
          <m:r>
            <m:rPr>
              <m:sty m:val="p"/>
            </m:rPr>
            <w:br/>
          </m:r>
        </m:oMath>
      </m:oMathPara>
    </w:p>
    <w:p w14:paraId="3F432B00" w14:textId="77777777" w:rsidR="00F96B6D" w:rsidRPr="00F96B6D" w:rsidRDefault="00F96B6D" w:rsidP="00F96B6D">
      <w:r w:rsidRPr="00F96B6D">
        <w:t>Where:</w:t>
      </w:r>
    </w:p>
    <w:p w14:paraId="0ED562E3" w14:textId="77777777" w:rsidR="00F96B6D" w:rsidRPr="00F96B6D" w:rsidRDefault="00F96B6D" w:rsidP="00F96B6D">
      <w:pPr>
        <w:numPr>
          <w:ilvl w:val="0"/>
          <w:numId w:val="10"/>
        </w:numPr>
      </w:pPr>
      <w:r w:rsidRPr="00F96B6D">
        <w:rPr>
          <w:b/>
          <w:bCs/>
        </w:rPr>
        <w:t>PR Years</w:t>
      </w:r>
      <w:r w:rsidRPr="00F96B6D">
        <w:t xml:space="preserve"> = number of years the property was your principal residence</w:t>
      </w:r>
    </w:p>
    <w:p w14:paraId="2B3F67AC" w14:textId="77777777" w:rsidR="00F96B6D" w:rsidRPr="00F96B6D" w:rsidRDefault="00F96B6D" w:rsidP="00F96B6D">
      <w:pPr>
        <w:numPr>
          <w:ilvl w:val="0"/>
          <w:numId w:val="10"/>
        </w:numPr>
      </w:pPr>
      <w:r w:rsidRPr="00F96B6D">
        <w:rPr>
          <w:b/>
          <w:bCs/>
        </w:rPr>
        <w:t>Years Owned</w:t>
      </w:r>
      <w:r w:rsidRPr="00F96B6D">
        <w:t xml:space="preserve"> = total number of years you owned the property</w:t>
      </w:r>
    </w:p>
    <w:p w14:paraId="3A78F6B8" w14:textId="77777777" w:rsidR="00F96B6D" w:rsidRPr="00F96B6D" w:rsidRDefault="00F96B6D" w:rsidP="00F96B6D">
      <w:r w:rsidRPr="00F96B6D">
        <w:rPr>
          <w:b/>
          <w:bCs/>
        </w:rPr>
        <w:t>Pros:</w:t>
      </w:r>
      <w:r w:rsidRPr="00F96B6D">
        <w:t xml:space="preserve"> </w:t>
      </w:r>
      <w:r w:rsidRPr="00F96B6D">
        <w:rPr>
          <w:rFonts w:ascii="Segoe UI Emoji" w:hAnsi="Segoe UI Emoji" w:cs="Segoe UI Emoji"/>
        </w:rPr>
        <w:t>✅</w:t>
      </w:r>
      <w:r w:rsidRPr="00F96B6D">
        <w:t xml:space="preserve"> Defers gain until sale and allows inclusion of rental years in PRE.</w:t>
      </w:r>
      <w:r w:rsidRPr="00F96B6D">
        <w:br/>
      </w:r>
      <w:r w:rsidRPr="00F96B6D">
        <w:rPr>
          <w:b/>
          <w:bCs/>
        </w:rPr>
        <w:t>Cons:</w:t>
      </w:r>
      <w:r w:rsidRPr="00F96B6D">
        <w:t xml:space="preserve"> </w:t>
      </w:r>
      <w:r w:rsidRPr="00F96B6D">
        <w:rPr>
          <w:rFonts w:ascii="Segoe UI Emoji" w:hAnsi="Segoe UI Emoji" w:cs="Segoe UI Emoji"/>
        </w:rPr>
        <w:t>❌</w:t>
      </w:r>
      <w:r w:rsidRPr="00F96B6D">
        <w:t xml:space="preserve"> Cannot revert to the FMV method later </w:t>
      </w:r>
      <w:r w:rsidRPr="00F96B6D">
        <w:rPr>
          <w:rFonts w:ascii="Aptos" w:hAnsi="Aptos" w:cs="Aptos"/>
        </w:rPr>
        <w:t>—</w:t>
      </w:r>
      <w:r w:rsidRPr="00F96B6D">
        <w:t xml:space="preserve"> the choice is made at conversion.</w:t>
      </w:r>
    </w:p>
    <w:p w14:paraId="4D9DC463" w14:textId="77777777" w:rsidR="00F96B6D" w:rsidRPr="00F96B6D" w:rsidRDefault="00000000" w:rsidP="00F96B6D">
      <w:r>
        <w:pict w14:anchorId="33B9EBD7">
          <v:rect id="_x0000_i1027" style="width:0;height:1.5pt" o:hralign="center" o:hrstd="t" o:hr="t" fillcolor="#a0a0a0" stroked="f"/>
        </w:pict>
      </w:r>
    </w:p>
    <w:p w14:paraId="3883F81C" w14:textId="77777777" w:rsidR="00F96B6D" w:rsidRPr="00F96B6D" w:rsidRDefault="00F96B6D" w:rsidP="00F96B6D">
      <w:pPr>
        <w:rPr>
          <w:b/>
          <w:bCs/>
        </w:rPr>
      </w:pPr>
      <w:r w:rsidRPr="00F96B6D">
        <w:rPr>
          <w:b/>
          <w:bCs/>
        </w:rPr>
        <w:t>Option 2: Filing T2091 at Conversion (No 45(2) Election)</w:t>
      </w:r>
    </w:p>
    <w:p w14:paraId="39D22476" w14:textId="6A3BA8EC" w:rsidR="00F96B6D" w:rsidRPr="00F96B6D" w:rsidRDefault="00F96B6D" w:rsidP="00F96B6D">
      <w:pPr>
        <w:numPr>
          <w:ilvl w:val="0"/>
          <w:numId w:val="11"/>
        </w:numPr>
      </w:pPr>
      <w:r w:rsidRPr="00F96B6D">
        <w:t xml:space="preserve">You report a </w:t>
      </w:r>
      <w:r w:rsidRPr="00F96B6D">
        <w:rPr>
          <w:b/>
          <w:bCs/>
        </w:rPr>
        <w:t>deemed disposition at</w:t>
      </w:r>
      <w:r w:rsidR="00ED7766">
        <w:rPr>
          <w:b/>
          <w:bCs/>
        </w:rPr>
        <w:t xml:space="preserve"> </w:t>
      </w:r>
      <w:r w:rsidR="00ED7766" w:rsidRPr="00F96B6D">
        <w:rPr>
          <w:b/>
          <w:bCs/>
        </w:rPr>
        <w:t>Fair Market Value (FMV)</w:t>
      </w:r>
      <w:r w:rsidRPr="00F96B6D">
        <w:t>.</w:t>
      </w:r>
    </w:p>
    <w:p w14:paraId="4DCD97FC" w14:textId="77777777" w:rsidR="00F96B6D" w:rsidRPr="00F96B6D" w:rsidRDefault="00F96B6D" w:rsidP="00F96B6D">
      <w:pPr>
        <w:numPr>
          <w:ilvl w:val="0"/>
          <w:numId w:val="11"/>
        </w:numPr>
      </w:pPr>
      <w:r w:rsidRPr="00F96B6D">
        <w:t xml:space="preserve">FMV at conversion becomes your </w:t>
      </w:r>
      <w:r w:rsidRPr="00F96B6D">
        <w:rPr>
          <w:b/>
          <w:bCs/>
        </w:rPr>
        <w:t>new ACB</w:t>
      </w:r>
      <w:r w:rsidRPr="00F96B6D">
        <w:t>.</w:t>
      </w:r>
    </w:p>
    <w:p w14:paraId="634C8592" w14:textId="77777777" w:rsidR="00F96B6D" w:rsidRPr="00F96B6D" w:rsidRDefault="00F96B6D" w:rsidP="00F96B6D">
      <w:pPr>
        <w:numPr>
          <w:ilvl w:val="0"/>
          <w:numId w:val="11"/>
        </w:numPr>
      </w:pPr>
      <w:r w:rsidRPr="00F96B6D">
        <w:t>Future taxable gain for the rental period is:</w:t>
      </w:r>
    </w:p>
    <w:p w14:paraId="09AD28E1" w14:textId="3A4A6601" w:rsidR="00F96B6D" w:rsidRPr="00F96B6D" w:rsidRDefault="00F96B6D" w:rsidP="00F96B6D">
      <m:oMathPara>
        <m:oMath>
          <m:r>
            <m:rPr>
              <m:nor/>
            </m:rPr>
            <m:t>Taxable Gain for Rental Period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m:t>Sale Price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m:t>FMV at Conversion</m:t>
          </m:r>
          <m:r>
            <m:rPr>
              <m:sty m:val="p"/>
            </m:rPr>
            <w:br/>
          </m:r>
        </m:oMath>
      </m:oMathPara>
    </w:p>
    <w:p w14:paraId="5305F65C" w14:textId="77777777" w:rsidR="00F96B6D" w:rsidRPr="00F96B6D" w:rsidRDefault="00F96B6D" w:rsidP="00F96B6D">
      <w:r w:rsidRPr="00F96B6D">
        <w:rPr>
          <w:b/>
          <w:bCs/>
        </w:rPr>
        <w:t>Pros:</w:t>
      </w:r>
      <w:r w:rsidRPr="00F96B6D">
        <w:t xml:space="preserve"> </w:t>
      </w:r>
      <w:r w:rsidRPr="00F96B6D">
        <w:rPr>
          <w:rFonts w:ascii="Segoe UI Emoji" w:hAnsi="Segoe UI Emoji" w:cs="Segoe UI Emoji"/>
        </w:rPr>
        <w:t>✅</w:t>
      </w:r>
      <w:r w:rsidRPr="00F96B6D">
        <w:t xml:space="preserve"> Resets ACB to FMV, which may reduce future taxable gains if property appreciation is low.</w:t>
      </w:r>
      <w:r w:rsidRPr="00F96B6D">
        <w:br/>
      </w:r>
      <w:r w:rsidRPr="00F96B6D">
        <w:rPr>
          <w:b/>
          <w:bCs/>
        </w:rPr>
        <w:t>Cons:</w:t>
      </w:r>
      <w:r w:rsidRPr="00F96B6D">
        <w:t xml:space="preserve"> </w:t>
      </w:r>
      <w:r w:rsidRPr="00F96B6D">
        <w:rPr>
          <w:rFonts w:ascii="Segoe UI Emoji" w:hAnsi="Segoe UI Emoji" w:cs="Segoe UI Emoji"/>
        </w:rPr>
        <w:t>❌</w:t>
      </w:r>
      <w:r w:rsidRPr="00F96B6D">
        <w:t xml:space="preserve"> You cannot include rental years in PRE.</w:t>
      </w:r>
    </w:p>
    <w:p w14:paraId="26C91139" w14:textId="77777777" w:rsidR="00F96B6D" w:rsidRPr="00F96B6D" w:rsidRDefault="00000000" w:rsidP="00F96B6D">
      <w:r>
        <w:pict w14:anchorId="7E995358">
          <v:rect id="_x0000_i1028" style="width:0;height:1.5pt" o:hralign="center" o:hrstd="t" o:hr="t" fillcolor="#a0a0a0" stroked="f"/>
        </w:pict>
      </w:r>
    </w:p>
    <w:p w14:paraId="0AA67D78" w14:textId="77777777" w:rsidR="00F96B6D" w:rsidRPr="00F96B6D" w:rsidRDefault="00F96B6D" w:rsidP="00F96B6D">
      <w:pPr>
        <w:rPr>
          <w:b/>
          <w:bCs/>
        </w:rPr>
      </w:pPr>
      <w:r w:rsidRPr="00F96B6D">
        <w:rPr>
          <w:b/>
          <w:bCs/>
        </w:rPr>
        <w:t>When Section 45(2) Election is Most Effective</w:t>
      </w:r>
    </w:p>
    <w:p w14:paraId="30281C31" w14:textId="77777777" w:rsidR="00F96B6D" w:rsidRPr="00F96B6D" w:rsidRDefault="00F96B6D" w:rsidP="00F96B6D">
      <w:pPr>
        <w:numPr>
          <w:ilvl w:val="0"/>
          <w:numId w:val="12"/>
        </w:numPr>
      </w:pPr>
      <w:r w:rsidRPr="00F96B6D">
        <w:t xml:space="preserve">You move out of your old home and rent it temporarily </w:t>
      </w:r>
      <w:r w:rsidRPr="00F96B6D">
        <w:rPr>
          <w:b/>
          <w:bCs/>
        </w:rPr>
        <w:t>without buying a new home immediately</w:t>
      </w:r>
      <w:r w:rsidRPr="00F96B6D">
        <w:t>.</w:t>
      </w:r>
    </w:p>
    <w:p w14:paraId="0DCE551A" w14:textId="77777777" w:rsidR="00F96B6D" w:rsidRPr="00F96B6D" w:rsidRDefault="00F96B6D" w:rsidP="00F96B6D">
      <w:pPr>
        <w:numPr>
          <w:ilvl w:val="0"/>
          <w:numId w:val="12"/>
        </w:numPr>
      </w:pPr>
      <w:r w:rsidRPr="00F96B6D">
        <w:t xml:space="preserve">You want to </w:t>
      </w:r>
      <w:r w:rsidRPr="00F96B6D">
        <w:rPr>
          <w:b/>
          <w:bCs/>
        </w:rPr>
        <w:t>preserve PRE</w:t>
      </w:r>
      <w:r w:rsidRPr="00F96B6D">
        <w:t xml:space="preserve"> while waiting to sell.</w:t>
      </w:r>
    </w:p>
    <w:p w14:paraId="3FA37CFE" w14:textId="77777777" w:rsidR="00F96B6D" w:rsidRPr="00F96B6D" w:rsidRDefault="00F96B6D" w:rsidP="00F96B6D">
      <w:pPr>
        <w:numPr>
          <w:ilvl w:val="0"/>
          <w:numId w:val="12"/>
        </w:numPr>
      </w:pPr>
      <w:r w:rsidRPr="00F96B6D">
        <w:t>High expected property appreciation during rental years.</w:t>
      </w:r>
    </w:p>
    <w:p w14:paraId="7DFEFF1A" w14:textId="77777777" w:rsidR="00F96B6D" w:rsidRPr="00F96B6D" w:rsidRDefault="00F96B6D" w:rsidP="00F96B6D">
      <w:pPr>
        <w:numPr>
          <w:ilvl w:val="0"/>
          <w:numId w:val="12"/>
        </w:numPr>
      </w:pPr>
      <w:r w:rsidRPr="00F96B6D">
        <w:t xml:space="preserve">You have </w:t>
      </w:r>
      <w:r w:rsidRPr="00F96B6D">
        <w:rPr>
          <w:b/>
          <w:bCs/>
        </w:rPr>
        <w:t>not claimed CCA</w:t>
      </w:r>
      <w:r w:rsidRPr="00F96B6D">
        <w:t xml:space="preserve"> (claiming CCA disqualifies the election).</w:t>
      </w:r>
    </w:p>
    <w:p w14:paraId="3A8D78B0" w14:textId="77777777" w:rsidR="00F96B6D" w:rsidRPr="00F96B6D" w:rsidRDefault="00F96B6D" w:rsidP="00F96B6D">
      <w:r w:rsidRPr="00F96B6D">
        <w:t>The higher the expected gain during the rental period, the more tax you save by deferring with 45(2).</w:t>
      </w:r>
    </w:p>
    <w:p w14:paraId="605BD5AC" w14:textId="77777777" w:rsidR="00F96B6D" w:rsidRPr="00F96B6D" w:rsidRDefault="00000000" w:rsidP="00F96B6D">
      <w:r>
        <w:pict w14:anchorId="5B1F58AB">
          <v:rect id="_x0000_i1029" style="width:0;height:1.5pt" o:hralign="center" o:hrstd="t" o:hr="t" fillcolor="#a0a0a0" stroked="f"/>
        </w:pict>
      </w:r>
    </w:p>
    <w:p w14:paraId="3E210A3E" w14:textId="77777777" w:rsidR="00F96B6D" w:rsidRPr="00F96B6D" w:rsidRDefault="00F96B6D" w:rsidP="00F96B6D">
      <w:pPr>
        <w:rPr>
          <w:b/>
          <w:bCs/>
        </w:rPr>
      </w:pPr>
      <w:r w:rsidRPr="00F96B6D">
        <w:rPr>
          <w:b/>
          <w:bCs/>
        </w:rPr>
        <w:lastRenderedPageBreak/>
        <w:t>When the Election is Less Beneficial</w:t>
      </w:r>
    </w:p>
    <w:p w14:paraId="1492AF70" w14:textId="77777777" w:rsidR="00F96B6D" w:rsidRPr="00F96B6D" w:rsidRDefault="00F96B6D" w:rsidP="00F96B6D">
      <w:pPr>
        <w:numPr>
          <w:ilvl w:val="0"/>
          <w:numId w:val="13"/>
        </w:numPr>
      </w:pPr>
      <w:r w:rsidRPr="00F96B6D">
        <w:t>Property is not expected to appreciate much after renting.</w:t>
      </w:r>
    </w:p>
    <w:p w14:paraId="59BD6259" w14:textId="77777777" w:rsidR="00F96B6D" w:rsidRPr="00F96B6D" w:rsidRDefault="00F96B6D" w:rsidP="00F96B6D">
      <w:pPr>
        <w:numPr>
          <w:ilvl w:val="0"/>
          <w:numId w:val="13"/>
        </w:numPr>
      </w:pPr>
      <w:r w:rsidRPr="00F96B6D">
        <w:t xml:space="preserve">You need to claim </w:t>
      </w:r>
      <w:r w:rsidRPr="00F96B6D">
        <w:rPr>
          <w:b/>
          <w:bCs/>
        </w:rPr>
        <w:t>CCA</w:t>
      </w:r>
      <w:r w:rsidRPr="00F96B6D">
        <w:t>, which disqualifies the election.</w:t>
      </w:r>
    </w:p>
    <w:p w14:paraId="5172E55F" w14:textId="77777777" w:rsidR="00F96B6D" w:rsidRPr="00F96B6D" w:rsidRDefault="00F96B6D" w:rsidP="00F96B6D">
      <w:r w:rsidRPr="00F96B6D">
        <w:t xml:space="preserve">In these situations, allowing the deemed disposition may </w:t>
      </w:r>
      <w:r w:rsidRPr="00F96B6D">
        <w:rPr>
          <w:b/>
          <w:bCs/>
        </w:rPr>
        <w:t>actually reduce future taxable gain</w:t>
      </w:r>
      <w:r w:rsidRPr="00F96B6D">
        <w:t>.</w:t>
      </w:r>
    </w:p>
    <w:p w14:paraId="3FD63CB6" w14:textId="77777777" w:rsidR="00F96B6D" w:rsidRPr="00F96B6D" w:rsidRDefault="00000000" w:rsidP="00F96B6D">
      <w:r>
        <w:pict w14:anchorId="5C998225">
          <v:rect id="_x0000_i1030" style="width:0;height:1.5pt" o:hralign="center" o:hrstd="t" o:hr="t" fillcolor="#a0a0a0" stroked="f"/>
        </w:pict>
      </w:r>
    </w:p>
    <w:p w14:paraId="18E3EBBC" w14:textId="77777777" w:rsidR="00F96B6D" w:rsidRPr="00F96B6D" w:rsidRDefault="00F96B6D" w:rsidP="00F96B6D">
      <w:pPr>
        <w:rPr>
          <w:b/>
          <w:bCs/>
        </w:rPr>
      </w:pPr>
      <w:r w:rsidRPr="00F96B6D">
        <w:rPr>
          <w:b/>
          <w:bCs/>
        </w:rPr>
        <w:t>Key Takeaway</w:t>
      </w:r>
    </w:p>
    <w:p w14:paraId="7AD7480F" w14:textId="77777777" w:rsidR="00F96B6D" w:rsidRPr="00F96B6D" w:rsidRDefault="00F96B6D" w:rsidP="00F96B6D">
      <w:pPr>
        <w:numPr>
          <w:ilvl w:val="0"/>
          <w:numId w:val="14"/>
        </w:numPr>
      </w:pPr>
      <w:r w:rsidRPr="00F96B6D">
        <w:t xml:space="preserve">The </w:t>
      </w:r>
      <w:r w:rsidRPr="00F96B6D">
        <w:rPr>
          <w:b/>
          <w:bCs/>
        </w:rPr>
        <w:t>45(2) election is a deferred-gain strategy</w:t>
      </w:r>
      <w:r w:rsidRPr="00F96B6D">
        <w:t>.</w:t>
      </w:r>
    </w:p>
    <w:p w14:paraId="2FF47391" w14:textId="77777777" w:rsidR="00F96B6D" w:rsidRPr="00F96B6D" w:rsidRDefault="00F96B6D" w:rsidP="00F96B6D">
      <w:pPr>
        <w:numPr>
          <w:ilvl w:val="0"/>
          <w:numId w:val="14"/>
        </w:numPr>
      </w:pPr>
      <w:r w:rsidRPr="00F96B6D">
        <w:rPr>
          <w:b/>
          <w:bCs/>
        </w:rPr>
        <w:t>High expected appreciation:</w:t>
      </w:r>
      <w:r w:rsidRPr="00F96B6D">
        <w:t xml:space="preserve"> File the election.</w:t>
      </w:r>
    </w:p>
    <w:p w14:paraId="50024EED" w14:textId="77777777" w:rsidR="00F96B6D" w:rsidRPr="00F96B6D" w:rsidRDefault="00F96B6D" w:rsidP="00F96B6D">
      <w:pPr>
        <w:numPr>
          <w:ilvl w:val="0"/>
          <w:numId w:val="14"/>
        </w:numPr>
      </w:pPr>
      <w:r w:rsidRPr="00F96B6D">
        <w:rPr>
          <w:b/>
          <w:bCs/>
        </w:rPr>
        <w:t>Low expected appreciation or immediate new home purchase:</w:t>
      </w:r>
      <w:r w:rsidRPr="00F96B6D">
        <w:t xml:space="preserve"> Let the deemed disposition occur.</w:t>
      </w:r>
    </w:p>
    <w:p w14:paraId="7C9E6D0E" w14:textId="77777777" w:rsidR="00D55F17" w:rsidRDefault="00D55F17" w:rsidP="00F96B6D"/>
    <w:p w14:paraId="5B9941F9" w14:textId="46CE4ACA" w:rsidR="00D55F17" w:rsidRPr="00F96B6D" w:rsidRDefault="009E3783" w:rsidP="00F96B6D">
      <w:r>
        <w:rPr>
          <w:noProof/>
        </w:rPr>
        <w:lastRenderedPageBreak/>
        <w:drawing>
          <wp:inline distT="0" distB="0" distL="0" distR="0" wp14:anchorId="73E71E98" wp14:editId="6D1E8481">
            <wp:extent cx="5478780" cy="8221980"/>
            <wp:effectExtent l="0" t="0" r="7620" b="7620"/>
            <wp:docPr id="22735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F17" w:rsidRPr="00F96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195"/>
    <w:multiLevelType w:val="multilevel"/>
    <w:tmpl w:val="DCC8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6F5C"/>
    <w:multiLevelType w:val="multilevel"/>
    <w:tmpl w:val="EF98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C3F83"/>
    <w:multiLevelType w:val="multilevel"/>
    <w:tmpl w:val="6D4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26EA1"/>
    <w:multiLevelType w:val="multilevel"/>
    <w:tmpl w:val="BB6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A44BB"/>
    <w:multiLevelType w:val="multilevel"/>
    <w:tmpl w:val="F280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24D9E"/>
    <w:multiLevelType w:val="hybridMultilevel"/>
    <w:tmpl w:val="28A0E0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C7944"/>
    <w:multiLevelType w:val="multilevel"/>
    <w:tmpl w:val="124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52725"/>
    <w:multiLevelType w:val="multilevel"/>
    <w:tmpl w:val="D74C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83B89"/>
    <w:multiLevelType w:val="multilevel"/>
    <w:tmpl w:val="52B6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C4C55"/>
    <w:multiLevelType w:val="multilevel"/>
    <w:tmpl w:val="1C5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65D2F"/>
    <w:multiLevelType w:val="multilevel"/>
    <w:tmpl w:val="2A2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80F6B"/>
    <w:multiLevelType w:val="multilevel"/>
    <w:tmpl w:val="8380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7D725E"/>
    <w:multiLevelType w:val="multilevel"/>
    <w:tmpl w:val="C322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063F6"/>
    <w:multiLevelType w:val="multilevel"/>
    <w:tmpl w:val="424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551875">
    <w:abstractNumId w:val="5"/>
  </w:num>
  <w:num w:numId="2" w16cid:durableId="680744460">
    <w:abstractNumId w:val="6"/>
  </w:num>
  <w:num w:numId="3" w16cid:durableId="244995851">
    <w:abstractNumId w:val="12"/>
  </w:num>
  <w:num w:numId="4" w16cid:durableId="363790926">
    <w:abstractNumId w:val="7"/>
  </w:num>
  <w:num w:numId="5" w16cid:durableId="193350571">
    <w:abstractNumId w:val="11"/>
  </w:num>
  <w:num w:numId="6" w16cid:durableId="542715853">
    <w:abstractNumId w:val="10"/>
  </w:num>
  <w:num w:numId="7" w16cid:durableId="512963637">
    <w:abstractNumId w:val="2"/>
  </w:num>
  <w:num w:numId="8" w16cid:durableId="1606377236">
    <w:abstractNumId w:val="1"/>
  </w:num>
  <w:num w:numId="9" w16cid:durableId="875846085">
    <w:abstractNumId w:val="8"/>
  </w:num>
  <w:num w:numId="10" w16cid:durableId="772675917">
    <w:abstractNumId w:val="3"/>
  </w:num>
  <w:num w:numId="11" w16cid:durableId="792137680">
    <w:abstractNumId w:val="9"/>
  </w:num>
  <w:num w:numId="12" w16cid:durableId="1209029690">
    <w:abstractNumId w:val="13"/>
  </w:num>
  <w:num w:numId="13" w16cid:durableId="395395597">
    <w:abstractNumId w:val="0"/>
  </w:num>
  <w:num w:numId="14" w16cid:durableId="55365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7E"/>
    <w:rsid w:val="0015367E"/>
    <w:rsid w:val="00180BAB"/>
    <w:rsid w:val="00180DD4"/>
    <w:rsid w:val="003B2FAB"/>
    <w:rsid w:val="0049727D"/>
    <w:rsid w:val="005B3232"/>
    <w:rsid w:val="006137FD"/>
    <w:rsid w:val="00620E95"/>
    <w:rsid w:val="007F3FA4"/>
    <w:rsid w:val="009716A4"/>
    <w:rsid w:val="009D38FA"/>
    <w:rsid w:val="009E3783"/>
    <w:rsid w:val="00B5136D"/>
    <w:rsid w:val="00D55F17"/>
    <w:rsid w:val="00ED7766"/>
    <w:rsid w:val="00F865D8"/>
    <w:rsid w:val="00F9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4B58"/>
  <w15:chartTrackingRefBased/>
  <w15:docId w15:val="{3366B305-8BCA-46B3-ABBA-8DD79E32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6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513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olidtax.ca/wp-content/uploads/2026/02/Election-under-Subsection-45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 Tax Inc.</dc:creator>
  <cp:keywords/>
  <dc:description/>
  <cp:lastModifiedBy>Solid Tax Inc.</cp:lastModifiedBy>
  <cp:revision>6</cp:revision>
  <dcterms:created xsi:type="dcterms:W3CDTF">2026-02-10T17:45:00Z</dcterms:created>
  <dcterms:modified xsi:type="dcterms:W3CDTF">2026-02-11T21:35:00Z</dcterms:modified>
</cp:coreProperties>
</file>